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CA" w:rsidRPr="00CB6FCA" w:rsidRDefault="00CB6FCA" w:rsidP="00CB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CB6FCA" w:rsidRPr="00CB6FCA" w:rsidRDefault="00CB6FCA" w:rsidP="00CB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CB6FCA" w:rsidRPr="00CB6FCA" w:rsidRDefault="00CB6FCA" w:rsidP="00CB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CB6FCA" w:rsidRPr="00CB6FCA" w:rsidRDefault="00CB6FCA" w:rsidP="00CB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B6FCA" w:rsidRPr="00CB6FCA" w:rsidTr="00F65B2F">
        <w:tc>
          <w:tcPr>
            <w:tcW w:w="5103" w:type="dxa"/>
          </w:tcPr>
          <w:p w:rsidR="00CB6FCA" w:rsidRPr="00CB6FCA" w:rsidRDefault="00CB6FCA" w:rsidP="00CB6FCA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CB6FCA" w:rsidRPr="00CB6FCA" w:rsidRDefault="00CB6FCA" w:rsidP="00CB6FCA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6F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CB6FCA" w:rsidRPr="00CB6FCA" w:rsidRDefault="00CB6FCA" w:rsidP="00CB6F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6F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4A4DA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2</w:t>
            </w:r>
          </w:p>
          <w:p w:rsidR="00CB6FCA" w:rsidRPr="00CB6FCA" w:rsidRDefault="00CB6FCA" w:rsidP="00CB6F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B6FCA" w:rsidRPr="00CB6FCA" w:rsidRDefault="00CB6FCA" w:rsidP="00CB6F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B6FCA" w:rsidRPr="00CB6FCA" w:rsidRDefault="00CB6FCA" w:rsidP="00CB6F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CB6FCA" w:rsidRPr="00CB6FCA" w:rsidRDefault="00CB6FCA" w:rsidP="00CB6FCA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CB6FCA">
        <w:rPr>
          <w:rFonts w:ascii="Calibri" w:eastAsia="Times New Roman" w:hAnsi="Calibri" w:cs="Times New Roman"/>
          <w:lang w:eastAsia="ru-RU"/>
        </w:rPr>
        <w:tab/>
      </w:r>
    </w:p>
    <w:p w:rsidR="00CB6FCA" w:rsidRPr="00CB6FCA" w:rsidRDefault="00CB6FCA" w:rsidP="00CB6FCA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CB6FCA" w:rsidRPr="00CB6FCA" w:rsidRDefault="00CB6FCA" w:rsidP="00CB6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внеурочной деятельности </w:t>
      </w:r>
    </w:p>
    <w:p w:rsidR="00CB6FCA" w:rsidRPr="00CB6FCA" w:rsidRDefault="00CB6FCA" w:rsidP="00CB6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Речецветик</w:t>
      </w:r>
      <w:r w:rsidRPr="00CB6FC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CB6FCA" w:rsidRPr="00CB6FCA" w:rsidRDefault="00CB6FCA" w:rsidP="00CB6F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</w:t>
      </w:r>
      <w:r w:rsidRPr="00CB6FC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класс  </w:t>
      </w:r>
    </w:p>
    <w:p w:rsidR="00CB6FCA" w:rsidRPr="00CB6FCA" w:rsidRDefault="00CB6FCA" w:rsidP="00CB6F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6FCA" w:rsidRPr="00CB6FCA" w:rsidRDefault="00CB6FCA" w:rsidP="00CB6F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CA" w:rsidRPr="00CB6FCA" w:rsidRDefault="00CB6FCA" w:rsidP="00CB6F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4D" w:rsidRDefault="0074064D" w:rsidP="00CB6F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301E7" w:rsidRDefault="005301E7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E7" w:rsidRDefault="005301E7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E7" w:rsidRDefault="005301E7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E7" w:rsidRDefault="005301E7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E7" w:rsidRDefault="005301E7" w:rsidP="005301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2D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5301E7" w:rsidRPr="006C2D07" w:rsidRDefault="005301E7" w:rsidP="005301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5301E7" w:rsidRDefault="001150BB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5301E7" w:rsidRDefault="001150BB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5301E7" w:rsidRDefault="001150BB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5301E7" w:rsidRDefault="001150BB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5301E7" w:rsidRDefault="001150BB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01E7" w:rsidTr="000D09ED">
        <w:tc>
          <w:tcPr>
            <w:tcW w:w="673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5301E7" w:rsidRDefault="005301E7" w:rsidP="004A4DA2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</w:tc>
        <w:tc>
          <w:tcPr>
            <w:tcW w:w="805" w:type="dxa"/>
          </w:tcPr>
          <w:p w:rsidR="005301E7" w:rsidRDefault="001150BB" w:rsidP="004A4DA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301E7" w:rsidRDefault="005301E7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E7" w:rsidRDefault="005301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44646" w:rsidRPr="005301E7" w:rsidRDefault="00844646" w:rsidP="00E008A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44646" w:rsidRPr="0074064D" w:rsidRDefault="00844646" w:rsidP="00C95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динамичных процессов, происходящих в системе образования России, для современного этапа развития общества характерна смена образовательных программ, переход к новым педагогическим технологиям, ориентированным на инновационные процессы и корректировку профессиональной деятельности педагога.</w:t>
      </w:r>
    </w:p>
    <w:p w:rsidR="00844646" w:rsidRPr="0074064D" w:rsidRDefault="00844646" w:rsidP="00C95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Характерное для детей с ограниченными возможностями здоровья недоразвитие и нарушение речи. Главной задачей, стоящей перед педагогом на современном этапе, является повышение эффективности обучения и воспитания учащихся. Важная роль в этом процессе, несомненно, принадлежит развитию коммуникативной функции речи. Несовершенство коммуникативных умений учащихся с нарушением интеллекта, их речевая активность, осложняют процесс свободного общения, затрудняют развитие речемыслительной и познавательной деятельности детей, препятствуют созданию условий для успешной социальной адаптации выпускников. Совершенствование системы образования требует постоянного внимания к организации педагогической работы, более полного использования потенциальных интеллектуальных и речевых возможностей умственно отсталых школьников с целью повышения эффективности процесса обучения и улучшения их подготовленности к жизни.</w:t>
      </w:r>
    </w:p>
    <w:p w:rsidR="00844646" w:rsidRPr="0074064D" w:rsidRDefault="00844646" w:rsidP="0053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включает следующие разделы: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связной речи (раздел содержание лексических тем);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развитию мелкой моторики.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звукопроизношения.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- задача обучения заключается в том, чтобы ускорить процесс овладения разговорной речью на основе коррекции всех составляющих компонентов; помочь учащимся осмыслить и обобщить имеющий у них речевой опыт; улучшить такие качественные характеристики устной речи, как звукопроизношение, темп, ритм, дикция, интонация, выразительность; повысить общую культуру речевой коммуникации и общения.</w:t>
      </w:r>
    </w:p>
    <w:p w:rsidR="00163B21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развитию мелкой моторики - по мнению известного философа Канта: «Рука – это выдвинувшийся вперед человеческий мозг». Большая часть двигательной (моторной) коры больших полушарий головного мозга участвует в мышечных движениях гортани, языка, рта, челюсти. Именно эти органы формируют речь. Упражнения, построенные на движениях языка и челюсти, стимулируют работу лобной доли мозга, контролирующей мышление, речь и поведение.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 Сухомлинский справедливо утверждал: «Ум ребёнка находится на кончиках его пальцев». Можно ускорить развитие мелкой моторики различными способами, например, такими: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мелкими предметами </w:t>
      </w:r>
      <w:r w:rsid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паззлы, мозаика, конструкторы, бусины и т. п.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Массаж кистей и пальцев и т. д.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звукопроизношения </w:t>
      </w: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речевые дефекты наблюдаются в произно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шении, правильно формировать которое довольно сложно, по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скольку ребенку необходимо научиться управлять своими орга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 речи, осуществлять контроль за собственной речью и речью окружающих.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звукопроизношения сами собой не исчезают. Своевременно не выявленные и не устраненные нарушения закрепляются, становятся стойкими.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исправления неправильного звукопроизношения делится на </w:t>
      </w: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этапа: 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звука, автоматизация звука и дифференциация смешиваемых звуков.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речь ребенка как один из показателей общего развития его личности наряду с</w:t>
      </w:r>
      <w:r w:rsidR="00DF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нравственным, духовным, интеллектуальным - это способ введения ученика в культуру, условия его саморазвития, его способности общаться. Кроме того, речевая деятельность и словарный запас является первоосновой любой деятельности человека.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предмета -</w:t>
      </w:r>
      <w:r w:rsidR="0016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путей совершенствования логопедической работы по исправлению звукопроизношения, развитие связной речи, мелкой моторики у детей с ОВЗ.</w:t>
      </w:r>
    </w:p>
    <w:p w:rsidR="00844646" w:rsidRPr="0074064D" w:rsidRDefault="00844646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поставлены следующие задачи:</w:t>
      </w:r>
    </w:p>
    <w:p w:rsidR="00844646" w:rsidRPr="00321F6B" w:rsidRDefault="00321F6B" w:rsidP="00321F6B">
      <w:p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4646" w:rsidRP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общеречевых навыков, направленных на преодоление речевой замкнутости, коррекцию недостатков звукопроизношения, развитие слухового внимания и фонематического слуха.</w:t>
      </w:r>
    </w:p>
    <w:p w:rsidR="00844646" w:rsidRPr="00321F6B" w:rsidRDefault="00321F6B" w:rsidP="00321F6B">
      <w:p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4646" w:rsidRP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сенсорной сферы на основе различных упражнений, направленных на коррекцию и развитие зрительных, слуховых, ощущений и восприятий, являющихся основой для формирования разнообразных сторон речи и первоначальных навыков письма.</w:t>
      </w:r>
    </w:p>
    <w:p w:rsidR="00844646" w:rsidRPr="00321F6B" w:rsidRDefault="00321F6B" w:rsidP="00321F6B">
      <w:p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4646" w:rsidRPr="0032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умения осмысленно запоминать, воспроизводить необходимый учебный материал.</w:t>
      </w:r>
    </w:p>
    <w:p w:rsidR="005301E7" w:rsidRDefault="005301E7" w:rsidP="00E008A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5301E7" w:rsidRPr="0074064D" w:rsidRDefault="005301E7" w:rsidP="00530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важности речевого развития ребенка, о речи как способе общения, о развитии ее коммуникативной функции говорилось во многих работах различных авторов (А.А. Бодалев, А.А. Брудный, Л.П. Буева, Л.С. Выготский, Г.В. Колшанский, А.А. Леонтьев, М.И. Лисина и др.).</w:t>
      </w:r>
    </w:p>
    <w:p w:rsidR="005301E7" w:rsidRPr="0074064D" w:rsidRDefault="005301E7" w:rsidP="00530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 является врожденной способностью, она формирует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постепенно, и ее развитие зависит от многих причин. Одним из условий нормального становления звукопроизношения явля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полноценная работа артикуляционного аппарата. Бытую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мнение о том, что звукопроизносительная сторона речи ребенка развивается самостоятельно, без специального воздей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 и помощи взрослых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будто бы ребенок сам постепенно овладевает правильным произношением,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ошибочно. Но именно оно часто является причиной того, что развитие звуковой стороны речи, особенно в раннем возрасте, происхо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самотеком, без должного 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внимания со стороны родителей, и поэтому значительное число детей школь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возраста имеет те или другие недочеты произношения. А поскольку сами собой эти недостатки не исправляются, еже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часно мы слышим в той или иной мере дефектную речь как детей, так и взрослых.</w:t>
      </w:r>
    </w:p>
    <w:p w:rsidR="005301E7" w:rsidRPr="0074064D" w:rsidRDefault="005301E7" w:rsidP="00530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Невмешательство в процесс формирования речи почти всегда влечет за собой отставание в развитии. Дефекты звукопроизношения, возникнув и закрепившись в детстве, с большим трудом преодолеваются в последующие годы и могут сохраниться на всю жизнь. Компенсировать дефект может только квалифицированная помощь.</w:t>
      </w:r>
    </w:p>
    <w:p w:rsidR="005301E7" w:rsidRPr="0074064D" w:rsidRDefault="005301E7" w:rsidP="00530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включающее умение четко произносить звуки и различать их, владеть артикуляционным аппаратом, правильно построить предложение и т. д., одна из насущ</w:t>
      </w:r>
      <w:r w:rsidR="0038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проблем, стоящих перед педагогом.</w:t>
      </w:r>
    </w:p>
    <w:p w:rsidR="005301E7" w:rsidRPr="0074064D" w:rsidRDefault="005301E7" w:rsidP="00530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Немалое значение имеет на занятиях развитие мелкой моторики. К области мелкой моторики относится разнообразные движения: от примитивных жестов, таких как захват объектов, до очень мелких движений, от которых, например, зависит почерк человека.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ребенка неразрывно связано с развитием мелкой моторики. Связь пальцевой моторики и речевой функции была подтверждена исследователями Института физиологии детей и подростков. В числе исследователей можно назвать А. В. Антакову-Фомину, М. И. Кольцову, Е. И. Исенину. На занятиях используются специфические задания, направленные на развитие памяти, внимания, пространственных представлений, мелкой моторики. Количество упражнений зависит от уровня развития неречевых процессов ребенка.</w:t>
      </w:r>
    </w:p>
    <w:p w:rsidR="005301E7" w:rsidRDefault="005301E7" w:rsidP="00163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1E7" w:rsidRPr="00ED0A2F" w:rsidRDefault="005301E7" w:rsidP="00E008AA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5301E7" w:rsidRDefault="005301E7" w:rsidP="005301E7">
      <w:pPr>
        <w:pStyle w:val="a7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A4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курс реализуется в рамках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ознавательного</w:t>
      </w:r>
      <w:r w:rsidR="003D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учебного плана внеурочной деятельности. Занятия проводятся 1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в 1г классе, всего 33 часа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3D706A" w:rsidRDefault="003D706A" w:rsidP="005301E7">
      <w:pPr>
        <w:pStyle w:val="a7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06A" w:rsidRDefault="003D706A" w:rsidP="00E008AA">
      <w:pPr>
        <w:pStyle w:val="a7"/>
        <w:numPr>
          <w:ilvl w:val="0"/>
          <w:numId w:val="1"/>
        </w:numPr>
        <w:shd w:val="clear" w:color="auto" w:fill="FFFFFF"/>
        <w:spacing w:after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</w:t>
      </w:r>
      <w:r w:rsidRPr="003D70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держание </w:t>
      </w:r>
      <w:r w:rsidR="00C62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учебного курса</w:t>
      </w:r>
    </w:p>
    <w:p w:rsidR="007F2D8A" w:rsidRDefault="007F2D8A" w:rsidP="00650D1C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D1C" w:rsidRPr="00650D1C" w:rsidRDefault="00650D1C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школой.</w:t>
      </w:r>
    </w:p>
    <w:p w:rsidR="004A4DA2" w:rsidRDefault="004A4DA2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мелкой моторики</w:t>
      </w:r>
    </w:p>
    <w:p w:rsidR="00650D1C" w:rsidRPr="00650D1C" w:rsidRDefault="004A4DA2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артикуляционные упражнения</w:t>
      </w:r>
    </w:p>
    <w:p w:rsidR="00650D1C" w:rsidRPr="00650D1C" w:rsidRDefault="00650D1C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простых предложений</w:t>
      </w:r>
    </w:p>
    <w:p w:rsidR="00650D1C" w:rsidRPr="00650D1C" w:rsidRDefault="00650D1C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предметов по форме, цвету, вкусу, запаху</w:t>
      </w:r>
    </w:p>
    <w:p w:rsidR="00650D1C" w:rsidRPr="00650D1C" w:rsidRDefault="00650D1C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предметов и их частей</w:t>
      </w:r>
    </w:p>
    <w:p w:rsidR="00650D1C" w:rsidRPr="00650D1C" w:rsidRDefault="00650D1C" w:rsidP="00E27E3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основных цветов</w:t>
      </w:r>
    </w:p>
    <w:p w:rsidR="004A4DA2" w:rsidRDefault="00650D1C" w:rsidP="00650D1C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0D1C" w:rsidRPr="007F2D8A" w:rsidRDefault="00650D1C" w:rsidP="00650D1C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F2D8A">
        <w:rPr>
          <w:b/>
          <w:color w:val="000000" w:themeColor="text1"/>
          <w:sz w:val="28"/>
          <w:szCs w:val="28"/>
        </w:rPr>
        <w:lastRenderedPageBreak/>
        <w:t>Тематика</w:t>
      </w:r>
    </w:p>
    <w:p w:rsidR="00650D1C" w:rsidRPr="00735FE2" w:rsidRDefault="007F2D8A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Школа. Школьные принадлежности</w:t>
      </w:r>
    </w:p>
    <w:p w:rsidR="00650D1C" w:rsidRPr="00735FE2" w:rsidRDefault="00650D1C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Овощи. </w:t>
      </w:r>
      <w:r w:rsid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Огород. </w:t>
      </w: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различение</w:t>
      </w:r>
    </w:p>
    <w:p w:rsidR="00650D1C" w:rsidRPr="00735FE2" w:rsidRDefault="00650D1C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Фрукты. Название, различение</w:t>
      </w:r>
    </w:p>
    <w:p w:rsidR="00650D1C" w:rsidRPr="00735FE2" w:rsidRDefault="007F2D8A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="00650D1C"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Кормушки, корм.</w:t>
      </w:r>
    </w:p>
    <w:p w:rsidR="00650D1C" w:rsidRPr="00735FE2" w:rsidRDefault="007F2D8A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</w:t>
      </w:r>
      <w:r w:rsidR="00387070"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детеныши</w:t>
      </w:r>
      <w:r w:rsidR="00650D1C"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Внешний вид, повадки</w:t>
      </w:r>
    </w:p>
    <w:p w:rsidR="00650D1C" w:rsidRPr="00735FE2" w:rsidRDefault="00650D1C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</w:t>
      </w:r>
      <w:r w:rsidR="00387070"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детеныши</w:t>
      </w:r>
      <w:r w:rsidR="007F2D8A"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вид, повадки</w:t>
      </w:r>
    </w:p>
    <w:p w:rsidR="00650D1C" w:rsidRPr="00735FE2" w:rsidRDefault="00650D1C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 (летняя, зимняя). Назначение вещей. Дифференциация вещей и обуви</w:t>
      </w:r>
      <w:r w:rsidR="00387070"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2BF3" w:rsidRPr="00735FE2" w:rsidRDefault="00A62BF3" w:rsidP="00A62BF3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Головные уборы </w:t>
      </w:r>
    </w:p>
    <w:p w:rsidR="00650D1C" w:rsidRPr="00735FE2" w:rsidRDefault="00650D1C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 (мама, папа, бабушка, дедушка, сестра, брат).</w:t>
      </w:r>
    </w:p>
    <w:p w:rsidR="00387070" w:rsidRPr="00735FE2" w:rsidRDefault="00387070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Электроприборы, бытовая техника</w:t>
      </w:r>
    </w:p>
    <w:p w:rsidR="00387070" w:rsidRPr="00735FE2" w:rsidRDefault="00387070" w:rsidP="00735FE2">
      <w:pPr>
        <w:pStyle w:val="a7"/>
        <w:shd w:val="clear" w:color="auto" w:fill="FFFFFF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питания, посуда</w:t>
      </w:r>
    </w:p>
    <w:p w:rsidR="003D706A" w:rsidRPr="003D706A" w:rsidRDefault="00650D1C" w:rsidP="00735FE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35FE2">
        <w:rPr>
          <w:b/>
          <w:bCs/>
          <w:color w:val="000000"/>
          <w:sz w:val="28"/>
          <w:szCs w:val="28"/>
        </w:rPr>
        <w:t xml:space="preserve">5. </w:t>
      </w:r>
      <w:r w:rsidR="004A4DA2"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844646" w:rsidRPr="0074064D" w:rsidRDefault="00844646" w:rsidP="00740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941"/>
        <w:gridCol w:w="1706"/>
      </w:tblGrid>
      <w:tr w:rsidR="005301E7" w:rsidRPr="0074064D" w:rsidTr="00735FE2">
        <w:trPr>
          <w:trHeight w:val="322"/>
          <w:tblCellSpacing w:w="15" w:type="dxa"/>
        </w:trPr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6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01E7" w:rsidRPr="0074064D" w:rsidTr="00735FE2">
        <w:trPr>
          <w:trHeight w:val="322"/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1E7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«Части тела. Артикуляционный аппарат».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1E7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01E7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1E7" w:rsidRPr="0074064D" w:rsidRDefault="005301E7" w:rsidP="0074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 «Щелчки</w:t>
            </w:r>
            <w:r w:rsidRPr="00740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», </w:t>
            </w: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здороваются».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1E7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«Геометрические фигуры».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«Солнышко», «Лошадка».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«Огород, овощи».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«Улитка», «Забор».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«Лягушка», «Крокодил».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холодных и жарких стран».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«Фонарики», «Курочка».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«Перелетные птицы».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«Петушок», «Футбол».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«Деревья», «Флаг».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«Одежда».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«Бегают человечки», «Мостик».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«Обувь».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«Сова», «Очки».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«Головные уборы».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«Прилавок», «Веселые маляры».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«Дикие, домашние животные и их детеныши».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«Крыша», «Дружба».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«Продукты питания, посуда».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«Кулачки», «Дом».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его части».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«Лошадка», «Цветок».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«Электроприборы, бытовая техника».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«Бутончик», «Углы».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«Транспорт. Правила дорожного движения».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«Человек в доме», «Скакалка».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«Откуда хлеб пришел?».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«Ёлка», «Лакомка».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5FE2" w:rsidRPr="0074064D" w:rsidTr="00735FE2">
        <w:trPr>
          <w:tblCellSpacing w:w="15" w:type="dxa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FE2" w:rsidRPr="0074064D" w:rsidRDefault="00735FE2" w:rsidP="0073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«Школа, школьные принадлежности».</w:t>
            </w:r>
          </w:p>
        </w:tc>
        <w:tc>
          <w:tcPr>
            <w:tcW w:w="1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FE2" w:rsidRPr="0074064D" w:rsidRDefault="00735FE2" w:rsidP="0073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63B21" w:rsidRDefault="00163B21" w:rsidP="00DF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4569A" w:rsidRDefault="00F4569A" w:rsidP="00DF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4569A" w:rsidRPr="00F4569A" w:rsidRDefault="00F4569A" w:rsidP="00E008AA">
      <w:pPr>
        <w:pStyle w:val="a7"/>
        <w:numPr>
          <w:ilvl w:val="0"/>
          <w:numId w:val="2"/>
        </w:num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56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и предметные результаты освоения курса</w:t>
      </w:r>
    </w:p>
    <w:p w:rsidR="007F2D8A" w:rsidRPr="00E27E33" w:rsidRDefault="007F2D8A" w:rsidP="00E27E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7E33">
        <w:rPr>
          <w:b/>
          <w:color w:val="000000"/>
          <w:sz w:val="28"/>
          <w:szCs w:val="28"/>
        </w:rPr>
        <w:t>Предметные</w:t>
      </w:r>
      <w:r w:rsidR="00E27E33">
        <w:rPr>
          <w:b/>
          <w:color w:val="000000"/>
          <w:sz w:val="28"/>
          <w:szCs w:val="28"/>
        </w:rPr>
        <w:t xml:space="preserve"> результаты</w:t>
      </w:r>
      <w:r w:rsidRPr="00E27E33">
        <w:rPr>
          <w:b/>
          <w:color w:val="000000"/>
          <w:sz w:val="28"/>
          <w:szCs w:val="28"/>
        </w:rPr>
        <w:t>: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Формировать звуковую культуру речи.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Формировать словарь.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Формировать грамматический строй речи: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синтаксис,</w:t>
      </w:r>
      <w:r w:rsidR="00E27E33" w:rsidRP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морфология,</w:t>
      </w:r>
      <w:r w:rsidR="00E27E33" w:rsidRP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словообразование</w:t>
      </w:r>
      <w:r w:rsidR="00E27E33" w:rsidRPr="00E27E33">
        <w:rPr>
          <w:color w:val="000000"/>
          <w:sz w:val="28"/>
          <w:szCs w:val="28"/>
        </w:rPr>
        <w:t>, с</w:t>
      </w:r>
      <w:r w:rsidRPr="00E27E33">
        <w:rPr>
          <w:color w:val="000000"/>
          <w:sz w:val="28"/>
          <w:szCs w:val="28"/>
        </w:rPr>
        <w:t>вязная речь.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Творческое рассказывание.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Ознакомление с художественной литературой.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Формировать навыки аналитико-синтетической работы с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вербальным и невербальным языком.</w:t>
      </w:r>
    </w:p>
    <w:p w:rsidR="007F2D8A" w:rsidRPr="00E27E33" w:rsidRDefault="007F2D8A" w:rsidP="007F2D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7E33">
        <w:rPr>
          <w:b/>
          <w:color w:val="000000"/>
          <w:sz w:val="28"/>
          <w:szCs w:val="28"/>
        </w:rPr>
        <w:t>Метапредметные</w:t>
      </w:r>
      <w:r w:rsidR="00E27E33">
        <w:rPr>
          <w:b/>
          <w:color w:val="000000"/>
          <w:sz w:val="28"/>
          <w:szCs w:val="28"/>
        </w:rPr>
        <w:t xml:space="preserve"> результаты</w:t>
      </w:r>
      <w:r w:rsidRPr="00E27E33">
        <w:rPr>
          <w:b/>
          <w:color w:val="000000"/>
          <w:sz w:val="28"/>
          <w:szCs w:val="28"/>
        </w:rPr>
        <w:t>: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Развивать в игре речь детей, обогащать и активизировать словарный запас.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Развивать наблюдательность и любознательность детей, умение понимать поставленную задачу и способы ее решения.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Развивать способность замечать красоту родного языка.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Развивать слуховое внимание, фонематический слух.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Развивать самостоятельность речи.</w:t>
      </w:r>
    </w:p>
    <w:p w:rsidR="00E27E33" w:rsidRPr="00E27E33" w:rsidRDefault="00E27E33" w:rsidP="00E27E33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27E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Воспитывать волевые качества: доводить начатое до конца, выполнять установленные норму поведения, в своих поступках следовать хорошему примеру.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Воспитать способность чувствовать и понимать образный язык сказок,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рассказов,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стихов.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lastRenderedPageBreak/>
        <w:t>Воспитывать любовь к родному языку,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художественной литературе,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малым фольклорным формам.</w:t>
      </w:r>
    </w:p>
    <w:p w:rsidR="007F2D8A" w:rsidRPr="00E27E33" w:rsidRDefault="007F2D8A" w:rsidP="00E008A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E27E33">
        <w:rPr>
          <w:color w:val="000000"/>
          <w:sz w:val="28"/>
          <w:szCs w:val="28"/>
        </w:rPr>
        <w:t>Воспитывать умение слушать художественное произведение,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следить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за развитием действия,</w:t>
      </w:r>
      <w:r w:rsidR="00E27E33">
        <w:rPr>
          <w:color w:val="000000"/>
          <w:sz w:val="28"/>
          <w:szCs w:val="28"/>
        </w:rPr>
        <w:t xml:space="preserve"> </w:t>
      </w:r>
      <w:r w:rsidRPr="00E27E33">
        <w:rPr>
          <w:color w:val="000000"/>
          <w:sz w:val="28"/>
          <w:szCs w:val="28"/>
        </w:rPr>
        <w:t>сопереживать героям.</w:t>
      </w:r>
    </w:p>
    <w:p w:rsidR="00F4569A" w:rsidRDefault="00F4569A" w:rsidP="00DF1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3D706A" w:rsidRDefault="003D706A" w:rsidP="00E008AA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3D706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Материальное и техническое обеспечение.</w:t>
      </w:r>
    </w:p>
    <w:p w:rsidR="00650D1C" w:rsidRDefault="00650D1C" w:rsidP="00650D1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650D1C" w:rsidRDefault="00650D1C" w:rsidP="00650D1C">
      <w:pPr>
        <w:pStyle w:val="a3"/>
        <w:spacing w:before="0" w:beforeAutospacing="0" w:after="0" w:afterAutospacing="0"/>
        <w:ind w:firstLine="426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Мультимедийное оборудование;</w:t>
      </w:r>
      <w:r w:rsidRPr="008B2293">
        <w:rPr>
          <w:rFonts w:ascii="Times New Roman CYR" w:hAnsi="Times New Roman CYR" w:cs="Arial"/>
          <w:color w:val="000000"/>
          <w:sz w:val="28"/>
          <w:szCs w:val="28"/>
        </w:rPr>
        <w:t xml:space="preserve"> материалы дл</w:t>
      </w:r>
      <w:r>
        <w:rPr>
          <w:rFonts w:ascii="Times New Roman CYR" w:hAnsi="Times New Roman CYR" w:cs="Arial"/>
          <w:color w:val="000000"/>
          <w:sz w:val="28"/>
          <w:szCs w:val="28"/>
        </w:rPr>
        <w:t>я оформления и творчества детей;</w:t>
      </w:r>
      <w:r w:rsidRPr="008B2293">
        <w:rPr>
          <w:rFonts w:ascii="Times New Roman CYR" w:hAnsi="Times New Roman CYR" w:cs="Arial"/>
          <w:color w:val="000000"/>
          <w:sz w:val="28"/>
          <w:szCs w:val="28"/>
        </w:rPr>
        <w:t xml:space="preserve"> налич</w:t>
      </w:r>
      <w:r>
        <w:rPr>
          <w:rFonts w:ascii="Times New Roman CYR" w:hAnsi="Times New Roman CYR" w:cs="Arial"/>
          <w:color w:val="000000"/>
          <w:sz w:val="28"/>
          <w:szCs w:val="28"/>
        </w:rPr>
        <w:t>ие канцелярских принадлежностей.</w:t>
      </w:r>
    </w:p>
    <w:p w:rsidR="00650D1C" w:rsidRDefault="00650D1C" w:rsidP="00650D1C">
      <w:pPr>
        <w:pStyle w:val="a3"/>
        <w:spacing w:before="0" w:beforeAutospacing="0" w:after="0" w:afterAutospacing="0"/>
        <w:jc w:val="both"/>
        <w:rPr>
          <w:rFonts w:ascii="Times New Roman CYR" w:hAnsi="Times New Roman CYR" w:cs="Arial"/>
          <w:color w:val="000000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</w:rPr>
        <w:t>Литература: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Барков А.С. Цветы предсказывают погоду. Ростов-на-Дону: Малыш, 1976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Венгер Л.М., Дьяченко О.М., Говорова Р.И., Цеханская Л.И. Игры и упражнения по развитию умственных способностей у детей дошкольного возраста М.: Просвещение, 1989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Вохринцева С.В. Окружающий мир: цветная палитра. Екатеринбург: «Страна Фантазий», 2009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Гризик Т.И., Тимощук Л.Е. Развитие речи детей 4-5 лет. М.: Просвещение, 2004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Дрязгунова В.А. Дидактические игры для ознакомления дошкольников с растениями. М.: Просвещение, 1981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Емельянова Е. Наглядно-дидактические пособия. М.: «Мозаика-Синтез», 2014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Карепова Т.Г. Формирование здорового образа жизни у дошкольников. Волгоград: Учитель, 2011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Щеткин А.В. Театральная деятельность в детском саду. М.: «Мозаика-Синтез», 2007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Эльконин Д.Б. Букварь. М.: Просвещение, 1997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Раздаточные карточки. ТЦ Сфера</w:t>
      </w:r>
    </w:p>
    <w:p w:rsidR="00650D1C" w:rsidRPr="00650D1C" w:rsidRDefault="00650D1C" w:rsidP="00E008A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426" w:hanging="426"/>
        <w:rPr>
          <w:color w:val="000000"/>
          <w:sz w:val="28"/>
          <w:szCs w:val="28"/>
        </w:rPr>
      </w:pPr>
      <w:r w:rsidRPr="00650D1C">
        <w:rPr>
          <w:color w:val="000000"/>
          <w:sz w:val="28"/>
          <w:szCs w:val="28"/>
        </w:rPr>
        <w:t>Учебные пособия для дошкольников. Ростов-на-Дону: Проф-пресс, 2012</w:t>
      </w:r>
    </w:p>
    <w:p w:rsidR="00650D1C" w:rsidRDefault="00650D1C" w:rsidP="00650D1C">
      <w:pPr>
        <w:pStyle w:val="a3"/>
        <w:spacing w:after="136"/>
        <w:ind w:firstLine="426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650D1C" w:rsidRPr="001130C3" w:rsidRDefault="00650D1C" w:rsidP="00650D1C">
      <w:pPr>
        <w:pStyle w:val="a3"/>
        <w:spacing w:after="136"/>
        <w:ind w:firstLine="426"/>
        <w:jc w:val="both"/>
        <w:rPr>
          <w:rFonts w:ascii="Times New Roman CYR" w:hAnsi="Times New Roman CYR" w:cs="Arial"/>
          <w:color w:val="000000"/>
          <w:sz w:val="28"/>
          <w:szCs w:val="28"/>
        </w:rPr>
      </w:pPr>
    </w:p>
    <w:p w:rsidR="00650D1C" w:rsidRPr="003D706A" w:rsidRDefault="00650D1C" w:rsidP="00650D1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sectPr w:rsidR="00650D1C" w:rsidRPr="003D706A" w:rsidSect="00D434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A0" w:rsidRDefault="00D455A0" w:rsidP="00D43401">
      <w:pPr>
        <w:spacing w:after="0" w:line="240" w:lineRule="auto"/>
      </w:pPr>
      <w:r>
        <w:separator/>
      </w:r>
    </w:p>
  </w:endnote>
  <w:endnote w:type="continuationSeparator" w:id="0">
    <w:p w:rsidR="00D455A0" w:rsidRDefault="00D455A0" w:rsidP="00D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A0" w:rsidRDefault="00D455A0" w:rsidP="00D43401">
      <w:pPr>
        <w:spacing w:after="0" w:line="240" w:lineRule="auto"/>
      </w:pPr>
      <w:r>
        <w:separator/>
      </w:r>
    </w:p>
  </w:footnote>
  <w:footnote w:type="continuationSeparator" w:id="0">
    <w:p w:rsidR="00D455A0" w:rsidRDefault="00D455A0" w:rsidP="00D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137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401" w:rsidRPr="00D43401" w:rsidRDefault="00A6791E">
        <w:pPr>
          <w:pStyle w:val="aa"/>
          <w:jc w:val="center"/>
          <w:rPr>
            <w:rFonts w:ascii="Times New Roman" w:hAnsi="Times New Roman" w:cs="Times New Roman"/>
          </w:rPr>
        </w:pPr>
        <w:r w:rsidRPr="00D43401">
          <w:rPr>
            <w:rFonts w:ascii="Times New Roman" w:hAnsi="Times New Roman" w:cs="Times New Roman"/>
          </w:rPr>
          <w:fldChar w:fldCharType="begin"/>
        </w:r>
        <w:r w:rsidR="00D43401" w:rsidRPr="00D43401">
          <w:rPr>
            <w:rFonts w:ascii="Times New Roman" w:hAnsi="Times New Roman" w:cs="Times New Roman"/>
          </w:rPr>
          <w:instrText>PAGE   \* MERGEFORMAT</w:instrText>
        </w:r>
        <w:r w:rsidRPr="00D43401">
          <w:rPr>
            <w:rFonts w:ascii="Times New Roman" w:hAnsi="Times New Roman" w:cs="Times New Roman"/>
          </w:rPr>
          <w:fldChar w:fldCharType="separate"/>
        </w:r>
        <w:r w:rsidR="004A4DA2">
          <w:rPr>
            <w:rFonts w:ascii="Times New Roman" w:hAnsi="Times New Roman" w:cs="Times New Roman"/>
            <w:noProof/>
          </w:rPr>
          <w:t>6</w:t>
        </w:r>
        <w:r w:rsidRPr="00D43401">
          <w:rPr>
            <w:rFonts w:ascii="Times New Roman" w:hAnsi="Times New Roman" w:cs="Times New Roman"/>
          </w:rPr>
          <w:fldChar w:fldCharType="end"/>
        </w:r>
      </w:p>
    </w:sdtContent>
  </w:sdt>
  <w:p w:rsidR="00D43401" w:rsidRDefault="00D434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AEB"/>
    <w:multiLevelType w:val="multilevel"/>
    <w:tmpl w:val="87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F5232"/>
    <w:multiLevelType w:val="hybridMultilevel"/>
    <w:tmpl w:val="49AEFCA6"/>
    <w:lvl w:ilvl="0" w:tplc="BC549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4F84"/>
    <w:multiLevelType w:val="hybridMultilevel"/>
    <w:tmpl w:val="B2BAFC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E54"/>
    <w:multiLevelType w:val="multilevel"/>
    <w:tmpl w:val="E2E6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646"/>
    <w:rsid w:val="001150BB"/>
    <w:rsid w:val="001272FE"/>
    <w:rsid w:val="00146292"/>
    <w:rsid w:val="00163B21"/>
    <w:rsid w:val="001A61BE"/>
    <w:rsid w:val="00246A61"/>
    <w:rsid w:val="00262AAF"/>
    <w:rsid w:val="002C7FF5"/>
    <w:rsid w:val="00321F6B"/>
    <w:rsid w:val="00332278"/>
    <w:rsid w:val="00387070"/>
    <w:rsid w:val="003A47F0"/>
    <w:rsid w:val="003D706A"/>
    <w:rsid w:val="00465439"/>
    <w:rsid w:val="004A4DA2"/>
    <w:rsid w:val="00511431"/>
    <w:rsid w:val="005301E7"/>
    <w:rsid w:val="00553A65"/>
    <w:rsid w:val="00576ADD"/>
    <w:rsid w:val="005F0B7D"/>
    <w:rsid w:val="00600016"/>
    <w:rsid w:val="0062493C"/>
    <w:rsid w:val="006335B3"/>
    <w:rsid w:val="00650D1C"/>
    <w:rsid w:val="00735FE2"/>
    <w:rsid w:val="0074064D"/>
    <w:rsid w:val="00787ADC"/>
    <w:rsid w:val="007B40CA"/>
    <w:rsid w:val="007B70FE"/>
    <w:rsid w:val="007F2D8A"/>
    <w:rsid w:val="00844646"/>
    <w:rsid w:val="00853A8D"/>
    <w:rsid w:val="008F3B46"/>
    <w:rsid w:val="00994A20"/>
    <w:rsid w:val="00A62BF3"/>
    <w:rsid w:val="00A6791E"/>
    <w:rsid w:val="00AA4409"/>
    <w:rsid w:val="00AF31D2"/>
    <w:rsid w:val="00B8131C"/>
    <w:rsid w:val="00B82074"/>
    <w:rsid w:val="00BA588C"/>
    <w:rsid w:val="00BA778D"/>
    <w:rsid w:val="00BC081D"/>
    <w:rsid w:val="00BD258A"/>
    <w:rsid w:val="00BF1BFA"/>
    <w:rsid w:val="00BF3866"/>
    <w:rsid w:val="00C62490"/>
    <w:rsid w:val="00C7161D"/>
    <w:rsid w:val="00C954EF"/>
    <w:rsid w:val="00CB6FCA"/>
    <w:rsid w:val="00CF4D20"/>
    <w:rsid w:val="00D35E7E"/>
    <w:rsid w:val="00D43401"/>
    <w:rsid w:val="00D455A0"/>
    <w:rsid w:val="00D5155F"/>
    <w:rsid w:val="00D54C9E"/>
    <w:rsid w:val="00D62449"/>
    <w:rsid w:val="00DF1849"/>
    <w:rsid w:val="00E008AA"/>
    <w:rsid w:val="00E27E33"/>
    <w:rsid w:val="00EA5A0B"/>
    <w:rsid w:val="00F4569A"/>
    <w:rsid w:val="00FA33F5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E596"/>
  <w15:docId w15:val="{BD555A97-340A-4DC3-8FC9-59D1EBB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646"/>
    <w:rPr>
      <w:b/>
      <w:bCs/>
    </w:rPr>
  </w:style>
  <w:style w:type="character" w:styleId="a5">
    <w:name w:val="Hyperlink"/>
    <w:basedOn w:val="a0"/>
    <w:uiPriority w:val="99"/>
    <w:semiHidden/>
    <w:unhideWhenUsed/>
    <w:rsid w:val="0074064D"/>
    <w:rPr>
      <w:color w:val="0000FF"/>
      <w:u w:val="single"/>
    </w:rPr>
  </w:style>
  <w:style w:type="table" w:styleId="a6">
    <w:name w:val="Table Grid"/>
    <w:basedOn w:val="a1"/>
    <w:uiPriority w:val="39"/>
    <w:rsid w:val="0055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A5A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3401"/>
  </w:style>
  <w:style w:type="paragraph" w:styleId="ac">
    <w:name w:val="footer"/>
    <w:basedOn w:val="a"/>
    <w:link w:val="ad"/>
    <w:uiPriority w:val="99"/>
    <w:unhideWhenUsed/>
    <w:rsid w:val="00D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13</cp:revision>
  <cp:lastPrinted>2019-02-17T18:56:00Z</cp:lastPrinted>
  <dcterms:created xsi:type="dcterms:W3CDTF">2019-02-06T17:36:00Z</dcterms:created>
  <dcterms:modified xsi:type="dcterms:W3CDTF">2019-02-17T18:58:00Z</dcterms:modified>
</cp:coreProperties>
</file>